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ind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Oggetto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 Voucher per la connettività e l’acquisto di un dispositivo digitale</w:t>
      </w:r>
    </w:p>
    <w:p w:rsidR="00000000" w:rsidDel="00000000" w:rsidP="00000000" w:rsidRDefault="00000000" w:rsidRPr="00000000" w14:paraId="00000006">
      <w:pPr>
        <w:ind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Cari genitori, </w:t>
      </w:r>
    </w:p>
    <w:p w:rsidR="00000000" w:rsidDel="00000000" w:rsidP="00000000" w:rsidRDefault="00000000" w:rsidRPr="00000000" w14:paraId="00000008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 partire dal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 novembre 2020,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le famiglie con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ISEE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inferiore a 20.000 Euro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possono richiedere, direttamente presso i punti vendita di uno degli operatori Infratel, l’attivazione di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un’offerta per la fruizione del voucher di 500 Euro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presentando uno specifico modulo di autocertificazione.</w:t>
      </w:r>
    </w:p>
    <w:p w:rsidR="00000000" w:rsidDel="00000000" w:rsidP="00000000" w:rsidRDefault="00000000" w:rsidRPr="00000000" w14:paraId="0000000A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Questa iniziativa mira a favorire l’accesso alla Didattica Digitale Integrata grazie all’uso del voucher, che offre sia un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dispositivo digitale (tablet/pc)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del valore massimo di 300 Euro, sia la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connettività da rete fissa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per almeno un anno </w:t>
      </w:r>
      <w:r w:rsidDel="00000000" w:rsidR="00000000" w:rsidRPr="00000000">
        <w:rPr>
          <w:sz w:val="22"/>
          <w:szCs w:val="22"/>
          <w:rtl w:val="0"/>
        </w:rPr>
        <w:t xml:space="preserve">al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proprio domicilio.</w:t>
      </w:r>
    </w:p>
    <w:p w:rsidR="00000000" w:rsidDel="00000000" w:rsidP="00000000" w:rsidRDefault="00000000" w:rsidRPr="00000000" w14:paraId="0000000C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Poiché la misura, pur prevedendo oltre 400.000 famiglie beneficiarie, ha comunque risorse limitate, definite a livello regionale, la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tempestività dell’adesione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è fondamentale per accedere all’agevolazione.</w:t>
      </w:r>
    </w:p>
    <w:p w:rsidR="00000000" w:rsidDel="00000000" w:rsidP="00000000" w:rsidRDefault="00000000" w:rsidRPr="00000000" w14:paraId="0000000E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Si suggerisce la lettura della pagina web del Ministero dell’Istruzione per ulteriori approfondimenti.</w:t>
      </w:r>
    </w:p>
    <w:p w:rsidR="00000000" w:rsidDel="00000000" w:rsidP="00000000" w:rsidRDefault="00000000" w:rsidRPr="00000000" w14:paraId="00000010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color w:val="000000"/>
          <w:sz w:val="22"/>
          <w:szCs w:val="22"/>
        </w:rPr>
      </w:pP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https://www.istruzione.it/scuola_digitale/banda_ultralarga.shtml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Cordiali saluti.</w:t>
      </w:r>
    </w:p>
    <w:p w:rsidR="00000000" w:rsidDel="00000000" w:rsidP="00000000" w:rsidRDefault="00000000" w:rsidRPr="00000000" w14:paraId="00000014">
      <w:pPr>
        <w:ind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Il  </w:t>
      </w:r>
      <w:r w:rsidDel="00000000" w:rsidR="00000000" w:rsidRPr="00000000">
        <w:rPr>
          <w:sz w:val="22"/>
          <w:szCs w:val="22"/>
          <w:rtl w:val="0"/>
        </w:rPr>
        <w:t xml:space="preserve">Dirigen</w:t>
      </w:r>
      <w:r w:rsidDel="00000000" w:rsidR="00000000" w:rsidRPr="00000000">
        <w:rPr>
          <w:sz w:val="20"/>
          <w:szCs w:val="20"/>
          <w:rtl w:val="0"/>
        </w:rPr>
        <w:t xml:space="preserve">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683"/>
        </w:tabs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Prof.ssa Adele Sebastiana Bevacqua</w:t>
      </w:r>
    </w:p>
    <w:p w:rsidR="00000000" w:rsidDel="00000000" w:rsidP="00000000" w:rsidRDefault="00000000" w:rsidRPr="00000000" w14:paraId="00000019">
      <w:pPr>
        <w:jc w:val="center"/>
        <w:rPr>
          <w:color w:val="000000"/>
          <w:sz w:val="14"/>
          <w:szCs w:val="14"/>
        </w:rPr>
      </w:pPr>
      <w:r w:rsidDel="00000000" w:rsidR="00000000" w:rsidRPr="00000000">
        <w:rPr>
          <w:color w:val="000000"/>
          <w:sz w:val="14"/>
          <w:szCs w:val="14"/>
          <w:rtl w:val="0"/>
        </w:rPr>
        <w:t xml:space="preserve">                                                                                                                                                                      Firma autografa sostituita a mezzo stampa</w:t>
      </w:r>
    </w:p>
    <w:p w:rsidR="00000000" w:rsidDel="00000000" w:rsidP="00000000" w:rsidRDefault="00000000" w:rsidRPr="00000000" w14:paraId="0000001A">
      <w:pPr>
        <w:tabs>
          <w:tab w:val="left" w:pos="5811"/>
        </w:tabs>
        <w:jc w:val="right"/>
        <w:rPr>
          <w:sz w:val="14"/>
          <w:szCs w:val="14"/>
        </w:rPr>
      </w:pPr>
      <w:r w:rsidDel="00000000" w:rsidR="00000000" w:rsidRPr="00000000">
        <w:rPr>
          <w:color w:val="000000"/>
          <w:sz w:val="14"/>
          <w:szCs w:val="14"/>
          <w:rtl w:val="0"/>
        </w:rPr>
        <w:t xml:space="preserve">ai sensi dell’art. 3, comma 2, del D.Lgs. 39/93</w:t>
      </w:r>
      <w:r w:rsidDel="00000000" w:rsidR="00000000" w:rsidRPr="00000000">
        <w:rPr>
          <w:rtl w:val="0"/>
        </w:rPr>
      </w:r>
    </w:p>
    <w:tbl>
      <w:tblPr>
        <w:tblStyle w:val="Table1"/>
        <w:tblW w:w="14986.999999999998" w:type="dxa"/>
        <w:jc w:val="left"/>
        <w:tblInd w:w="0.0" w:type="dxa"/>
        <w:tblLayout w:type="fixed"/>
        <w:tblLook w:val="0400"/>
      </w:tblPr>
      <w:tblGrid>
        <w:gridCol w:w="10173"/>
        <w:gridCol w:w="4814"/>
        <w:tblGridChange w:id="0">
          <w:tblGrid>
            <w:gridCol w:w="10173"/>
            <w:gridCol w:w="4814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</w:p>
    <w:sectPr>
      <w:headerReference r:id="rId7" w:type="default"/>
      <w:footerReference r:id="rId8" w:type="default"/>
      <w:pgSz w:h="16838" w:w="11906" w:orient="portrait"/>
      <w:pgMar w:bottom="567" w:top="1135" w:left="1134" w:right="1134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Quattrocento Sans"/>
  <w:font w:name="Times New Roman"/>
  <w:font w:name="Pinyon Script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-697229</wp:posOffset>
              </wp:positionH>
              <wp:positionV relativeFrom="paragraph">
                <wp:posOffset>82550</wp:posOffset>
              </wp:positionV>
              <wp:extent cx="7665720" cy="15240"/>
              <wp:effectExtent b="3810" l="0" r="11430" t="0"/>
              <wp:wrapNone/>
              <wp:docPr id="4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65720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4B6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-697229</wp:posOffset>
              </wp:positionH>
              <wp:positionV relativeFrom="paragraph">
                <wp:posOffset>82550</wp:posOffset>
              </wp:positionV>
              <wp:extent cx="7677150" cy="19050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3"/>
      <w:tblW w:w="9638.0" w:type="dxa"/>
      <w:jc w:val="left"/>
      <w:tblInd w:w="0.0" w:type="dxa"/>
      <w:tblLayout w:type="fixed"/>
      <w:tblLook w:val="0400"/>
    </w:tblPr>
    <w:tblGrid>
      <w:gridCol w:w="1700"/>
      <w:gridCol w:w="3695"/>
      <w:gridCol w:w="4243"/>
      <w:tblGridChange w:id="0">
        <w:tblGrid>
          <w:gridCol w:w="1700"/>
          <w:gridCol w:w="3695"/>
          <w:gridCol w:w="4243"/>
        </w:tblGrid>
      </w:tblGridChange>
    </w:tblGrid>
    <w:tr>
      <w:trPr>
        <w:trHeight w:val="936" w:hRule="atLeast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657225" cy="721360"/>
                <wp:effectExtent b="0" l="0" r="0" 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21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-628649</wp:posOffset>
                    </wp:positionH>
                    <wp:positionV relativeFrom="paragraph">
                      <wp:posOffset>92075</wp:posOffset>
                    </wp:positionV>
                    <wp:extent cx="7665720" cy="15240"/>
                    <wp:effectExtent b="3810" l="0" r="1143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7665720" cy="15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68C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-628649</wp:posOffset>
                    </wp:positionH>
                    <wp:positionV relativeFrom="paragraph">
                      <wp:posOffset>92075</wp:posOffset>
                    </wp:positionV>
                    <wp:extent cx="7677150" cy="19050"/>
                    <wp:effectExtent b="0" l="0" r="0" t="0"/>
                    <wp:wrapNone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77150" cy="190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Primaria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Secondaria di Primo Grado</w:t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628.0" w:type="dxa"/>
      <w:jc w:val="left"/>
      <w:tblInd w:w="0.0" w:type="dxa"/>
      <w:tblLayout w:type="fixed"/>
      <w:tblLook w:val="0400"/>
    </w:tblPr>
    <w:tblGrid>
      <w:gridCol w:w="3050"/>
      <w:gridCol w:w="3148"/>
      <w:gridCol w:w="3430"/>
      <w:tblGridChange w:id="0">
        <w:tblGrid>
          <w:gridCol w:w="3050"/>
          <w:gridCol w:w="3148"/>
          <w:gridCol w:w="3430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082675" cy="721360"/>
                <wp:effectExtent b="0" l="0" r="0" 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675" cy="721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</w:t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-712469</wp:posOffset>
                    </wp:positionH>
                    <wp:positionV relativeFrom="paragraph">
                      <wp:posOffset>2514600</wp:posOffset>
                    </wp:positionV>
                    <wp:extent cx="7589520" cy="7620"/>
                    <wp:effectExtent b="11430" l="0" r="1143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7589520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-712469</wp:posOffset>
                    </wp:positionH>
                    <wp:positionV relativeFrom="paragraph">
                      <wp:posOffset>2514600</wp:posOffset>
                    </wp:positionV>
                    <wp:extent cx="7600950" cy="19050"/>
                    <wp:effectExtent b="0" l="0" r="0" t="0"/>
                    <wp:wrapNone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00950" cy="190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-712469</wp:posOffset>
                    </wp:positionH>
                    <wp:positionV relativeFrom="paragraph">
                      <wp:posOffset>2537460</wp:posOffset>
                    </wp:positionV>
                    <wp:extent cx="7566660" cy="15240"/>
                    <wp:effectExtent b="3810" l="0" r="1524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7566660" cy="15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4B6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-712469</wp:posOffset>
                    </wp:positionH>
                    <wp:positionV relativeFrom="paragraph">
                      <wp:posOffset>2537460</wp:posOffset>
                    </wp:positionV>
                    <wp:extent cx="7581900" cy="19050"/>
                    <wp:effectExtent b="0" l="0" r="0" t="0"/>
                    <wp:wrapNone/>
                    <wp:docPr id="3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81900" cy="190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617855" cy="721360"/>
                <wp:effectExtent b="0" l="0" r="0" 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721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082675" cy="721360"/>
                <wp:effectExtent b="0" l="0" r="0" 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675" cy="7213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58" w:hRule="atLeast"/>
      </w:trPr>
      <w:tc>
        <w:tcPr>
          <w:gridSpan w:val="3"/>
          <w:vAlign w:val="center"/>
        </w:tcPr>
        <w:p w:rsidR="00000000" w:rsidDel="00000000" w:rsidP="00000000" w:rsidRDefault="00000000" w:rsidRPr="00000000" w14:paraId="00000023">
          <w:pPr>
            <w:jc w:val="center"/>
            <w:rPr>
              <w:rFonts w:ascii="Pinyon Script" w:cs="Pinyon Script" w:eastAsia="Pinyon Script" w:hAnsi="Pinyon Script"/>
              <w:b w:val="1"/>
            </w:rPr>
          </w:pPr>
          <w:r w:rsidDel="00000000" w:rsidR="00000000" w:rsidRPr="00000000">
            <w:rPr>
              <w:rFonts w:ascii="Pinyon Script" w:cs="Pinyon Script" w:eastAsia="Pinyon Script" w:hAnsi="Pinyon Script"/>
              <w:b w:val="1"/>
              <w:rtl w:val="0"/>
            </w:rPr>
            <w:t xml:space="preserve">Ministero dell’Istruzione, dell’Università e della Ricerca</w:t>
          </w:r>
        </w:p>
        <w:p w:rsidR="00000000" w:rsidDel="00000000" w:rsidP="00000000" w:rsidRDefault="00000000" w:rsidRPr="00000000" w14:paraId="00000024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ISTITUTO COMPRENSIVO N.1 TORTORICI</w:t>
          </w:r>
        </w:p>
        <w:p w:rsidR="00000000" w:rsidDel="00000000" w:rsidP="00000000" w:rsidRDefault="00000000" w:rsidRPr="00000000" w14:paraId="00000025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Via Zappulla, 88 – 98078 Tortorici (ME)</w:t>
          </w:r>
        </w:p>
        <w:p w:rsidR="00000000" w:rsidDel="00000000" w:rsidP="00000000" w:rsidRDefault="00000000" w:rsidRPr="00000000" w14:paraId="00000026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Wingdings 2" w:cs="Wingdings 2" w:eastAsia="Wingdings 2" w:hAnsi="Wingdings 2"/>
              <w:rtl w:val="0"/>
            </w:rPr>
            <w:t xml:space="preserve">🕾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0941421202 – </w:t>
          </w:r>
          <w:r w:rsidDel="00000000" w:rsidR="00000000" w:rsidRPr="00000000">
            <w:rPr>
              <w:rFonts w:ascii="Wingdings 2" w:cs="Wingdings 2" w:eastAsia="Wingdings 2" w:hAnsi="Wingdings 2"/>
              <w:rtl w:val="0"/>
            </w:rPr>
            <w:t xml:space="preserve">🖷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0941430831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CODICE MECCANOGRAFICO: MEIC89100B – AMBITO TERRITORIALE: SIC0016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CODICE FISCALE: 95008790834 – CODICE UNIVOCO UFFICIO: UFLPWT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PEO: MEIC89100B @istruzione.it – PEC: MEIC89100B @pec.istruzione.it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WEB: http://</w:t>
          </w:r>
          <w:hyperlink r:id="rId6"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www.ic1tortorici.gov.it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trHeight w:val="58" w:hRule="atLeast"/>
      </w:trPr>
      <w:tc>
        <w:tcPr>
          <w:gridSpan w:val="3"/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Pinyon Script" w:cs="Pinyon Script" w:eastAsia="Pinyon Script" w:hAnsi="Pinyon Script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jc w:val="right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struzione.it/scuola_digitale/banda_ultralarga.shtm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6.png"/><Relationship Id="rId5" Type="http://schemas.openxmlformats.org/officeDocument/2006/relationships/image" Target="media/image5.png"/><Relationship Id="rId6" Type="http://schemas.openxmlformats.org/officeDocument/2006/relationships/hyperlink" Target="http://www.ic1tortoric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